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 2023 року            м. Сквира                           №___-30-VIII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87"/>
        </w:tabs>
        <w:spacing w:after="0" w:before="0" w:line="240" w:lineRule="auto"/>
        <w:ind w:left="0" w:right="354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№10 (с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Антонів, Тхорівка, Шаліївка, Терешки)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87"/>
        </w:tabs>
        <w:spacing w:after="0" w:before="0" w:line="240" w:lineRule="auto"/>
        <w:ind w:left="0" w:right="354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Вадима Денисюка про роботу у 2022 році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4387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№10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Антонів, Тхорівка, Шаліївка, Терешки) Вадима Денисюка про проведену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-7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№10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Антонів, Тхорівка, Шаліївка, Терешки) Вадима Денисюка про роботу у 2022 році взяти до відома (додається).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№10 Денисюку Вадиму Вікторовичу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</w:t>
        <w:tab/>
        <w:t xml:space="preserve">        </w:t>
        <w:tab/>
        <w:t xml:space="preserve">Тетяна ВЛАСЮК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Людмила СЕРГІЄНКО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</w:t>
        <w:tab/>
        <w:t xml:space="preserve">Валентина БАЧИНСЬКА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міської голови 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Олександр ГНАТЮК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виконавчого комітету міської ради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Наталія ЗГАРДІВСЬКА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діловодства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запобігання та виявлення корупції)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 Віктор САЛТАНЮК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Староста міської ради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Вадим ДЕНИСЮК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підприємництва, промисловості,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 та архітектури                                                         </w:t>
        <w:tab/>
        <w:t xml:space="preserve">Віктор ДОРОШЕНКО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житлово-комунального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навколишнього середовища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законності та правопорядку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охорони здоров’я, культури та релігії                                      </w:t>
        <w:tab/>
        <w:t xml:space="preserve">Катерина БОНДАРЧУК</w:t>
      </w:r>
      <w:r w:rsidDel="00000000" w:rsidR="00000000" w:rsidRPr="00000000">
        <w:rPr>
          <w:rtl w:val="0"/>
        </w:rPr>
      </w:r>
    </w:p>
    <w:sectPr>
      <w:pgSz w:h="16834" w:w="11909" w:orient="portrait"/>
      <w:pgMar w:bottom="973" w:top="1135" w:left="1700" w:right="113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r2Ck1D88zmyVfbZGXpuWJmLvsw==">AMUW2mVDpJFrwGT89sMJeVvYbvBnkbpua2CVG+bV9BemP9Xxe+esOFTj55uTl8wBJYu2zpdEQpgQ59CQBqS94oqnmyJI45SY9GnhyBNrJq7pMDrIZZJ0xps=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